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801" w:rsidRDefault="00EA2801">
      <w:pPr>
        <w:pStyle w:val="ConsPlusNormal"/>
        <w:jc w:val="right"/>
        <w:outlineLvl w:val="0"/>
      </w:pPr>
      <w:r>
        <w:t>Приложение N 74</w:t>
      </w:r>
    </w:p>
    <w:p w:rsidR="00EA2801" w:rsidRDefault="00EA2801">
      <w:pPr>
        <w:pStyle w:val="ConsPlusNormal"/>
        <w:jc w:val="right"/>
      </w:pPr>
      <w:r>
        <w:t>к Программе</w:t>
      </w: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Title"/>
        <w:jc w:val="center"/>
      </w:pPr>
      <w:r>
        <w:t>ПРАВИЛА</w:t>
      </w:r>
    </w:p>
    <w:p w:rsidR="00EA2801" w:rsidRDefault="00EA2801">
      <w:pPr>
        <w:pStyle w:val="ConsPlusTitle"/>
        <w:jc w:val="center"/>
      </w:pPr>
      <w:r>
        <w:t>ПРЕДОСТАВЛЕНИЯ И РАСПРЕДЕЛЕНИЯ ИНОГО МЕЖБЮДЖЕТНОГО</w:t>
      </w:r>
    </w:p>
    <w:p w:rsidR="00EA2801" w:rsidRDefault="00EA2801">
      <w:pPr>
        <w:pStyle w:val="ConsPlusTitle"/>
        <w:jc w:val="center"/>
      </w:pPr>
      <w:r>
        <w:t xml:space="preserve">ТРАНСФЕРТА ИЗ ОБЛАСТНОГО БЮДЖЕТА МЕСТНЫМ БЮДЖЕТАМ </w:t>
      </w:r>
      <w:proofErr w:type="gramStart"/>
      <w:r>
        <w:t>МУРМАНСКОЙ</w:t>
      </w:r>
      <w:proofErr w:type="gramEnd"/>
    </w:p>
    <w:p w:rsidR="00EA2801" w:rsidRDefault="00EA2801">
      <w:pPr>
        <w:pStyle w:val="ConsPlusTitle"/>
        <w:jc w:val="center"/>
      </w:pPr>
      <w:r>
        <w:t xml:space="preserve">ОБЛАСТИ НА РАССЕЛЕНИЕ ГРАЖДАН, ПРОЖИВАЮЩИХ В </w:t>
      </w:r>
      <w:proofErr w:type="gramStart"/>
      <w:r>
        <w:t>АВАРИЙНОМ</w:t>
      </w:r>
      <w:proofErr w:type="gramEnd"/>
    </w:p>
    <w:p w:rsidR="00EA2801" w:rsidRDefault="00EA2801">
      <w:pPr>
        <w:pStyle w:val="ConsPlusTitle"/>
        <w:jc w:val="center"/>
      </w:pPr>
      <w:r>
        <w:t xml:space="preserve">ЖИЛИЩНОМ </w:t>
      </w:r>
      <w:proofErr w:type="gramStart"/>
      <w:r>
        <w:t>ФОНДЕ</w:t>
      </w:r>
      <w:proofErr w:type="gramEnd"/>
      <w:r>
        <w:t>, ПРИЗНАННОМ ТАКОВЫМ ПОСЛЕ 01.01.2017</w:t>
      </w:r>
    </w:p>
    <w:p w:rsidR="00EA2801" w:rsidRDefault="00EA280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A280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801" w:rsidRDefault="00EA280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801" w:rsidRDefault="00EA280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A2801" w:rsidRDefault="00EA280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A2801" w:rsidRDefault="00EA280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(введены </w:t>
            </w:r>
            <w:hyperlink r:id="rId5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EA2801" w:rsidRDefault="00EA2801">
            <w:pPr>
              <w:pStyle w:val="ConsPlusNormal"/>
              <w:jc w:val="center"/>
            </w:pPr>
            <w:r>
              <w:rPr>
                <w:color w:val="392C69"/>
              </w:rPr>
              <w:t>от 31.03.2023 N 243-ПП)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2801" w:rsidRDefault="00EA2801">
            <w:pPr>
              <w:pStyle w:val="ConsPlusNormal"/>
            </w:pPr>
          </w:p>
        </w:tc>
      </w:tr>
    </w:tbl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ind w:firstLine="540"/>
        <w:jc w:val="both"/>
      </w:pPr>
      <w:r>
        <w:t>1. Настоящие Правила определяют порядок, цели и условия предоставления и распределения иного межбюджетного трансферта из областного бюджета местным бюджетам Мурманской области на расселение граждан, проживающих в аварийном жилищном фонде, признанном таковым после 01.01.2017 (далее - трансферт).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0" w:name="P13"/>
      <w:bookmarkEnd w:id="0"/>
      <w:r>
        <w:t>2. Трансферт предоставляется Министерством строительства Мурманской области (далее - Министерство) на софинансирование расходных обязательств муниципального образования, возникающих при выполнении полномочий органа местного самоуправления муниципального образования по решению вопросов местного значения в части финансирования обеспечения мероприятий по расселению граждан, проживающих в аварийном жилищном фонде, признанном таковым после 01.01.2017, путем: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- приобретения жилых помещений для переселения граждан из аварийных многоквартирных домов (далее - МКД);</w:t>
      </w:r>
    </w:p>
    <w:p w:rsidR="00EA2801" w:rsidRDefault="00EA2801">
      <w:pPr>
        <w:pStyle w:val="ConsPlusNormal"/>
        <w:spacing w:before="220"/>
        <w:ind w:firstLine="540"/>
        <w:jc w:val="both"/>
      </w:pPr>
      <w:proofErr w:type="gramStart"/>
      <w:r>
        <w:t xml:space="preserve">- выплаты гражданам, в чьей собственности находятся жилые помещения, находящиеся в аварийном МКД, возмещения за изымаемые жилые помещения в соответствии с </w:t>
      </w:r>
      <w:hyperlink r:id="rId6">
        <w:r>
          <w:rPr>
            <w:color w:val="0000FF"/>
          </w:rPr>
          <w:t>частью 7 статьи 32</w:t>
        </w:r>
      </w:hyperlink>
      <w:r>
        <w:t xml:space="preserve"> Жилищного кодекса Российской Федерации;</w:t>
      </w:r>
      <w:proofErr w:type="gramEnd"/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- предоставления указанным в абзаце третьем </w:t>
      </w:r>
      <w:hyperlink w:anchor="P13">
        <w:r>
          <w:rPr>
            <w:color w:val="0000FF"/>
          </w:rPr>
          <w:t>пункта 2</w:t>
        </w:r>
      </w:hyperlink>
      <w:r>
        <w:t xml:space="preserve"> настоящих Правил гражданам субсидии на приобретение (строительство) жилых помещений в порядке, определенном </w:t>
      </w:r>
      <w:hyperlink w:anchor="P77">
        <w:r>
          <w:rPr>
            <w:color w:val="0000FF"/>
          </w:rPr>
          <w:t>приложением</w:t>
        </w:r>
      </w:hyperlink>
      <w:r>
        <w:t xml:space="preserve"> к настоящим Правилам;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- возмещения затрат по ремонту пустующих жилых помещений частично или в полном объеме, произведенных муниципальным образованием в текущем финансовом году, но не более суммы, утвержденной Региональным центром ценообразования в строительстве.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3. Трансферт предоставляется в пределах лимитов бюджетных обязательств, доведенных в установленном порядке до Министерства, являющегося главным распорядителем бюджетных средств (далее - ГРБС).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4. Критерием отбора муниципального образования для предоставления трансферта является наличие в муниципальном образовании </w:t>
      </w:r>
      <w:proofErr w:type="gramStart"/>
      <w:r>
        <w:t>аварийных</w:t>
      </w:r>
      <w:proofErr w:type="gramEnd"/>
      <w:r>
        <w:t xml:space="preserve"> деревянных МКД, портящих облик города и расположенных по традиционному маршруту следования колонны Всероссийской патриотической акции "Бессмертный полк".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1" w:name="P20"/>
      <w:bookmarkEnd w:id="1"/>
      <w:r>
        <w:t>5. Условиями предоставления трансферта являются: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2" w:name="P21"/>
      <w:bookmarkEnd w:id="2"/>
      <w:proofErr w:type="gramStart"/>
      <w:r>
        <w:t>а) наличие муниципальной программы по переселению граждан многоквартирных домов, признанных в установленном порядке аварийными и подлежащими сносу до 01.01.2017;</w:t>
      </w:r>
      <w:proofErr w:type="gramEnd"/>
    </w:p>
    <w:p w:rsidR="00EA2801" w:rsidRDefault="00EA2801">
      <w:pPr>
        <w:pStyle w:val="ConsPlusNormal"/>
        <w:spacing w:before="220"/>
        <w:ind w:firstLine="540"/>
        <w:jc w:val="both"/>
      </w:pPr>
      <w:bookmarkStart w:id="3" w:name="P22"/>
      <w:bookmarkEnd w:id="3"/>
      <w:r>
        <w:t xml:space="preserve">б) наличие муниципального правового акта муниципального образования (или проекта) с </w:t>
      </w:r>
      <w:r>
        <w:lastRenderedPageBreak/>
        <w:t>перечнем мероприятий, аналогичных мероприятию по расселению граждан, проживающих в аварийном жилищном фонде, признанном таковым после 01.01.2017, при реализации которых возникают расходные обязательства муниципального образования, в целях софинансирования которых предоставляется трансферт;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в) заключение соглашения о предоставлении трансферта между ГРБС и муниципальным образованием (далее - соглашение);</w:t>
      </w:r>
    </w:p>
    <w:p w:rsidR="00EA2801" w:rsidRDefault="00EA2801">
      <w:pPr>
        <w:pStyle w:val="ConsPlusNormal"/>
        <w:spacing w:before="220"/>
        <w:ind w:firstLine="540"/>
        <w:jc w:val="both"/>
      </w:pPr>
      <w:proofErr w:type="gramStart"/>
      <w:r>
        <w:t xml:space="preserve">г) если за счет средств трансферта заказчиками (за исключением автономных учреждений)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трансферта является централизация закупок в соответствии с </w:t>
      </w:r>
      <w:hyperlink r:id="rId7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</w:t>
      </w:r>
      <w:proofErr w:type="gramEnd"/>
      <w:r>
        <w:t>" (далее - Закон N 44-ФЗ),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области.</w:t>
      </w:r>
    </w:p>
    <w:p w:rsidR="00EA2801" w:rsidRDefault="00EA2801">
      <w:pPr>
        <w:pStyle w:val="ConsPlusNormal"/>
        <w:spacing w:before="220"/>
        <w:ind w:firstLine="540"/>
        <w:jc w:val="both"/>
      </w:pPr>
      <w:proofErr w:type="gramStart"/>
      <w:r>
        <w:t xml:space="preserve">Если за счет средств трансферта автономным учреждением осуществляется закупка в соответствии с </w:t>
      </w:r>
      <w:hyperlink r:id="rId8">
        <w:r>
          <w:rPr>
            <w:color w:val="0000FF"/>
          </w:rPr>
          <w:t>частью 4 статьи 15</w:t>
        </w:r>
      </w:hyperlink>
      <w:r>
        <w:t xml:space="preserve"> Закона N 44-ФЗ или юридическим лицом осуществляется закупка в соответствии с </w:t>
      </w:r>
      <w:hyperlink r:id="rId9">
        <w:r>
          <w:rPr>
            <w:color w:val="0000FF"/>
          </w:rPr>
          <w:t>частями 4.1</w:t>
        </w:r>
      </w:hyperlink>
      <w:r>
        <w:t xml:space="preserve">, </w:t>
      </w:r>
      <w:hyperlink r:id="rId10">
        <w:r>
          <w:rPr>
            <w:color w:val="0000FF"/>
          </w:rPr>
          <w:t>5 статьи 15</w:t>
        </w:r>
      </w:hyperlink>
      <w:r>
        <w:t xml:space="preserve"> Закона N 44-ФЗ, обязательным условием предоставления трансферта является направление в Комитет по конкурентной политике Мурманской области (далее - Комитет) проекта извещения об осуществлении такой закупки и применение типовых форм</w:t>
      </w:r>
      <w:proofErr w:type="gramEnd"/>
      <w:r>
        <w:t xml:space="preserve">, </w:t>
      </w:r>
      <w:proofErr w:type="gramStart"/>
      <w:r>
        <w:t>утверждаемых</w:t>
      </w:r>
      <w:proofErr w:type="gramEnd"/>
      <w:r>
        <w:t xml:space="preserve"> Комитетом.</w:t>
      </w:r>
    </w:p>
    <w:p w:rsidR="00EA2801" w:rsidRDefault="00EA2801">
      <w:pPr>
        <w:pStyle w:val="ConsPlusNormal"/>
        <w:spacing w:before="220"/>
        <w:ind w:firstLine="540"/>
        <w:jc w:val="both"/>
      </w:pPr>
      <w:proofErr w:type="gramStart"/>
      <w:r>
        <w:t xml:space="preserve">Закупки товаров, работ, услуг за счет средств трансферта в соответствии с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от 18.07.2011 N 223-ФЗ "О закупках товаров, работ, услуг отдельными видами юридических лиц" (далее - Закон N 223-ФЗ) осуществляются заказчиками самостоятельно, за исключением закупок, проводимых конкурентными способами определения поставщиков (подрядчиков, исполнителей) в целях реализации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</w:t>
      </w:r>
      <w:proofErr w:type="gramStart"/>
      <w:r>
        <w:t xml:space="preserve">проектов, которые осуществляются заказчиками в рамках заключенного соглашения с государственным автономным учреждением Мурманской области "Региональный центр организации закупок" о передаче полномочий по организации и проведению на безвозмездной основе закупок, осуществляемых конкурентными способами в соответствии с </w:t>
      </w:r>
      <w:hyperlink r:id="rId12">
        <w:r>
          <w:rPr>
            <w:color w:val="0000FF"/>
          </w:rPr>
          <w:t>Законом</w:t>
        </w:r>
      </w:hyperlink>
      <w:r>
        <w:t xml:space="preserve"> N 223-ФЗ в целях реализации заказчиком за счет средств трансферта региональных проектов, обеспечивающих достижение целей, показателей и результатов федеральных проектов, включенных в состав национальных</w:t>
      </w:r>
      <w:proofErr w:type="gramEnd"/>
      <w:r>
        <w:t xml:space="preserve"> проектов.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6. Уровень софинансирования реализации мероприятий за счет трансферта устанавливается в размере 99 %.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7. Трансферт предоставляется бюджету муниципального образования в пределах бюджетных ассигнований, утвержденных ГРБС на цели, указанные в </w:t>
      </w:r>
      <w:hyperlink w:anchor="P13">
        <w:r>
          <w:rPr>
            <w:color w:val="0000FF"/>
          </w:rPr>
          <w:t>пункте 2</w:t>
        </w:r>
      </w:hyperlink>
      <w:r>
        <w:t xml:space="preserve"> настоящих Правил, на основании соглашения, заключенного между ГРБС и администрацией муниципального образования.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В случае внесения изменений в сводную бюджетную роспись, предусматривающих уточнение в соответствующем финансовом году объемов бюджетных ассигнований на предоставление трансферта, в соглашение вносятся соответствующие изменения.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8. В целях заключения соглашения муниципальное образование представляет ГРБС документы: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- подтверждающие соответствие условиям предоставления трансферта, предусмотренным </w:t>
      </w:r>
      <w:hyperlink w:anchor="P21">
        <w:r>
          <w:rPr>
            <w:color w:val="0000FF"/>
          </w:rPr>
          <w:t>подпунктами "а"</w:t>
        </w:r>
      </w:hyperlink>
      <w:r>
        <w:t xml:space="preserve"> - </w:t>
      </w:r>
      <w:hyperlink w:anchor="P22">
        <w:r>
          <w:rPr>
            <w:color w:val="0000FF"/>
          </w:rPr>
          <w:t>"б" пункта 5</w:t>
        </w:r>
      </w:hyperlink>
      <w:r>
        <w:t xml:space="preserve"> настоящих Правил;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- заявку на получение трансферта (составленную в свободной форме) с указанием планируемых результатов использования трансферта.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9. Предоставление трансферта осуществляется на основании соглашения, подготавливаемого (формируемого) и заключаемого в программном комплексе "Реестр соглашений" электронной системы "Web-Бюджет" (далее программный комплекс).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10. Соглашение заключается в соответствии с типовой формой, утвержденной приказом Министерства финансов Мурманской области.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11. Указателем результативности использования трансферта является достижение установленных соглашением показателей, а именно: расселенная площадь жилых помещений, находящихся в домах, признанных аварийными после 01.01.2017.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12. Размер трансферта, предоставляемого бюджету муниципального образования, определяется по следующей формуле:</w:t>
      </w: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jc w:val="center"/>
      </w:pPr>
      <w:r>
        <w:rPr>
          <w:noProof/>
          <w:position w:val="-27"/>
        </w:rPr>
        <w:drawing>
          <wp:inline distT="0" distB="0" distL="0" distR="0">
            <wp:extent cx="1310005" cy="4927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ind w:firstLine="540"/>
        <w:jc w:val="both"/>
      </w:pPr>
      <w:r>
        <w:t>Ti - размер трансферта i-му муниципальному образованию, где Ti &lt;= размеру сре</w:t>
      </w:r>
      <w:proofErr w:type="gramStart"/>
      <w:r>
        <w:t>дств тр</w:t>
      </w:r>
      <w:proofErr w:type="gramEnd"/>
      <w:r>
        <w:t xml:space="preserve">ансферта, рассчитанному с учетом уровня софинансирования расходного обязательства муниципального образования, указанного в </w:t>
      </w:r>
      <w:hyperlink w:anchor="P20">
        <w:r>
          <w:rPr>
            <w:color w:val="0000FF"/>
          </w:rPr>
          <w:t>пункте 5</w:t>
        </w:r>
      </w:hyperlink>
      <w:r>
        <w:t xml:space="preserve"> настоящих Правил;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Si - объем заявленной потребности в средствах областного бюджета i-го муниципального образования на мероприятия по расселению граждан, проживающих в аварийном жилищном фонде, признанном таковым после 01.01.2017, рассчитанной как:</w:t>
      </w: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3740785" cy="25146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78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ind w:firstLine="540"/>
        <w:jc w:val="both"/>
      </w:pPr>
      <w:proofErr w:type="gramStart"/>
      <w:r>
        <w:t>P</w:t>
      </w:r>
      <w:proofErr w:type="gramEnd"/>
      <w:r>
        <w:rPr>
          <w:vertAlign w:val="subscript"/>
        </w:rPr>
        <w:t>ВТОР</w:t>
      </w:r>
      <w:r>
        <w:t xml:space="preserve"> - расселяемая площадь жилых помещений i-го муниципального образования путем приобретения жилых помещений у лиц, не являющихся застройщиками, в целях организации мероприятий по переселению граждан из аварийных МКД, кв. м;</w:t>
      </w:r>
    </w:p>
    <w:p w:rsidR="00EA2801" w:rsidRDefault="00EA2801">
      <w:pPr>
        <w:pStyle w:val="ConsPlusNormal"/>
        <w:spacing w:before="220"/>
        <w:ind w:firstLine="540"/>
        <w:jc w:val="both"/>
      </w:pPr>
      <w:proofErr w:type="gramStart"/>
      <w:r>
        <w:t>P</w:t>
      </w:r>
      <w:proofErr w:type="gramEnd"/>
      <w:r>
        <w:rPr>
          <w:vertAlign w:val="subscript"/>
        </w:rPr>
        <w:t>ВЫК</w:t>
      </w:r>
      <w:r>
        <w:t xml:space="preserve"> - расселяемая площадь жилых помещений i-го муниципального образования путем предоставления гражданам возмещения за изымаемые жилые помещения;</w:t>
      </w:r>
    </w:p>
    <w:p w:rsidR="00EA2801" w:rsidRDefault="00EA2801">
      <w:pPr>
        <w:pStyle w:val="ConsPlusNormal"/>
        <w:spacing w:before="220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ВТОР</w:t>
      </w:r>
      <w:r>
        <w:t xml:space="preserve"> - стоимость одного кв. м приобретаемого жилого помещения у лиц, не являющихся застройщиками, не превышающая размер, утвержденный Правительством Мурманской области на соответствующий квартал в текущем финансовом году;</w:t>
      </w:r>
    </w:p>
    <w:p w:rsidR="00EA2801" w:rsidRDefault="00EA2801">
      <w:pPr>
        <w:pStyle w:val="ConsPlusNormal"/>
        <w:spacing w:before="220"/>
        <w:ind w:firstLine="540"/>
        <w:jc w:val="both"/>
      </w:pPr>
      <w:proofErr w:type="gramStart"/>
      <w:r>
        <w:t>P</w:t>
      </w:r>
      <w:proofErr w:type="gramEnd"/>
      <w:r>
        <w:rPr>
          <w:vertAlign w:val="subscript"/>
        </w:rPr>
        <w:t>РЕМ</w:t>
      </w:r>
      <w:r>
        <w:t xml:space="preserve"> - расселяемая площадь жилых помещений i-го муниципального образования путем ремонта пустующих жилых помещений муниципального жилищного фонда;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V</w:t>
      </w:r>
      <w:r>
        <w:rPr>
          <w:vertAlign w:val="subscript"/>
        </w:rPr>
        <w:t>РЕМ</w:t>
      </w:r>
      <w:r>
        <w:t xml:space="preserve"> - стоимость одного кв. м ремонта помещений, определенная в соответствии с укрупненными нормативными ценами конструктивных решений по виду работ "ремонт освободившейся муниципальной квартиры", разработанными Региональным центром ценообразования в строительстве с применением </w:t>
      </w:r>
      <w:proofErr w:type="gramStart"/>
      <w:r>
        <w:t>индекс-дефлятора</w:t>
      </w:r>
      <w:proofErr w:type="gramEnd"/>
      <w:r>
        <w:t xml:space="preserve"> по виду деятельности "строительство";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C - общий объем трансферта в соответствии со сводной бюджетной росписью, подлежащий распределению между бюджетами муниципальных образований в соответствующем году.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lastRenderedPageBreak/>
        <w:t>13. Муниципальное образование представляет ГРБС с применением программного комплекса: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- отчет о расходах бюджета муниципального образования, в целях софинансирования которых предоставляется трансферт, по форме, установленной ГРБС, и в сроки, предусмотренные соглашением;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- отчет о достижении значений показателей предоставления трансферта и обязательствах, принятых в целях их достижения, по форме и в сроки, предусмотренные соглашением.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14. Оценка эффективности использования трансферта осуществляется ГРБС на основании сравнения установленного соглашением и фактически достигнутого по итогам отчетного </w:t>
      </w:r>
      <w:proofErr w:type="gramStart"/>
      <w:r>
        <w:t>года значения показателя результативности использования трансферта</w:t>
      </w:r>
      <w:proofErr w:type="gramEnd"/>
      <w:r>
        <w:t>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15. Трансферт перечисляется на единый счет местного бюджета, открытый финансовым органом муниципального образования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трансферта.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16. Не использованные на 1 января года, следующего за годом предоставления, остатки трансферта подлежат возврату в доход областного бюджета.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17. Потребность в неиспользованных остатках трансферта определяется в текущем финансовом году в соответствии с решением ГРБС.</w:t>
      </w:r>
    </w:p>
    <w:p w:rsidR="00EA2801" w:rsidRDefault="00EA2801">
      <w:pPr>
        <w:pStyle w:val="ConsPlusNormal"/>
        <w:spacing w:before="220"/>
        <w:ind w:firstLine="540"/>
        <w:jc w:val="both"/>
      </w:pPr>
      <w:proofErr w:type="gramStart"/>
      <w:r>
        <w:t>Внесение в установленном порядке изменений в сводную бюджетную роспись областного бюджета и лимиты бюджетных обязательств, предусматривающих увеличение бюджетных средств на предоставление из областного бюджета местным бюджетам трансферта, в объеме, не превышающем суммы остатка неиспользованных бюджетных ассигнований на указанные цели на начало текущего финансового года, осуществляется Министерством финансов Мурманской области на основании обращения, представленного ГРБС в Министерство финансов Мурманской области.</w:t>
      </w:r>
      <w:proofErr w:type="gramEnd"/>
    </w:p>
    <w:p w:rsidR="00EA2801" w:rsidRDefault="00EA2801">
      <w:pPr>
        <w:pStyle w:val="ConsPlusNormal"/>
        <w:spacing w:before="220"/>
        <w:ind w:firstLine="540"/>
        <w:jc w:val="both"/>
      </w:pPr>
      <w:r>
        <w:t>18. В случае если в отчетном финансовом году муниципальным образованием допущены нарушения предусмотренных соглашением обязательств по достижению установленных значений показателей результативности, объем средств, подлежащих возврату в областной бюджет в срок до 1 июня года, следующего за годом предоставления трансферта, определяется по формуле:</w:t>
      </w: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2682240" cy="25146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ТРАНСФ.</w:t>
      </w:r>
      <w:r>
        <w:t xml:space="preserve"> - размер трансферта, предоставленного муниципальному образованию, без учета остатка трансферта, не использованного по состоянию на 01.01.2024;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T</w:t>
      </w:r>
      <w:r>
        <w:rPr>
          <w:vertAlign w:val="subscript"/>
        </w:rPr>
        <w:t>i</w:t>
      </w:r>
      <w:r>
        <w:t xml:space="preserve"> - фактически достигнутое значение i-го показателя результативности на отчетную дату;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S</w:t>
      </w:r>
      <w:r>
        <w:rPr>
          <w:vertAlign w:val="subscript"/>
        </w:rPr>
        <w:t>i</w:t>
      </w:r>
      <w:r>
        <w:t xml:space="preserve"> - плановое значение i-го показателя результативности, установленное соглашением.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19. В случае нецелевого использования муниципальным образованием трансферта к нему применяются меры принуждения, предусмотренные бюджетным законодательством Российской Федерации.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20. Муниципальное образование несет ответственность за нецелевое и неэффективное использование трансферта, за нарушение условий, установленных настоящими Правилами, за недостоверность сведений, представляемых ГРБС, подтверждающих целевое использование трансферта.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lastRenderedPageBreak/>
        <w:t xml:space="preserve">21. </w:t>
      </w:r>
      <w:proofErr w:type="gramStart"/>
      <w:r>
        <w:t>Контроль за</w:t>
      </w:r>
      <w:proofErr w:type="gramEnd"/>
      <w:r>
        <w:t xml:space="preserve"> соблюдением муниципальным образованием условий предоставления трансферта и осуществлением расходов, источником финансового обеспечения которых являются трансферт, осуществляется ГРБС и органами государственного финансового контроля Мурманской области.</w:t>
      </w: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jc w:val="right"/>
        <w:outlineLvl w:val="1"/>
      </w:pPr>
      <w:r>
        <w:t>Приложение</w:t>
      </w:r>
    </w:p>
    <w:p w:rsidR="00EA2801" w:rsidRDefault="00EA2801">
      <w:pPr>
        <w:pStyle w:val="ConsPlusNormal"/>
        <w:jc w:val="right"/>
      </w:pPr>
      <w:r>
        <w:t>к Правилам</w:t>
      </w: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Title"/>
        <w:jc w:val="center"/>
      </w:pPr>
      <w:bookmarkStart w:id="4" w:name="P77"/>
      <w:bookmarkEnd w:id="4"/>
      <w:r>
        <w:t>ПОРЯДОК</w:t>
      </w:r>
    </w:p>
    <w:p w:rsidR="00EA2801" w:rsidRDefault="00EA2801">
      <w:pPr>
        <w:pStyle w:val="ConsPlusTitle"/>
        <w:jc w:val="center"/>
      </w:pPr>
      <w:r>
        <w:t xml:space="preserve">ПРЕДОСТАВЛЕНИЯ СУБСИДИИ ГРАЖДАНАМ - СОБСТВЕННИКАМ </w:t>
      </w:r>
      <w:proofErr w:type="gramStart"/>
      <w:r>
        <w:t>ЖИЛЫХ</w:t>
      </w:r>
      <w:proofErr w:type="gramEnd"/>
    </w:p>
    <w:p w:rsidR="00EA2801" w:rsidRDefault="00EA2801">
      <w:pPr>
        <w:pStyle w:val="ConsPlusTitle"/>
        <w:jc w:val="center"/>
      </w:pPr>
      <w:r>
        <w:t xml:space="preserve">ПОМЕЩЕНИЙ, </w:t>
      </w:r>
      <w:proofErr w:type="gramStart"/>
      <w:r>
        <w:t>ПЕРЕСЕЛЯЕМЫМ</w:t>
      </w:r>
      <w:proofErr w:type="gramEnd"/>
      <w:r>
        <w:t xml:space="preserve"> ИЗ АВАРИЙНЫХ МКД, НА ПРИОБРЕТЕНИЕ</w:t>
      </w:r>
    </w:p>
    <w:p w:rsidR="00EA2801" w:rsidRDefault="00EA2801">
      <w:pPr>
        <w:pStyle w:val="ConsPlusTitle"/>
        <w:jc w:val="center"/>
      </w:pPr>
      <w:r>
        <w:t>(СТРОИТЕЛЬСТВО) ЖИЛЫХ ПОМЕЩЕНИЙ</w:t>
      </w: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ind w:firstLine="540"/>
        <w:jc w:val="both"/>
      </w:pPr>
      <w:r>
        <w:t>1. Настоящий Порядок определяет порядок, цели и условия предоставления субсидии гражданам, переселяемым из аварийных МКД, на приобретение (строительство) жилых помещений (далее - Порядок) в рамках реализации настоящей Субсидии.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5" w:name="P83"/>
      <w:bookmarkEnd w:id="5"/>
      <w:r>
        <w:t xml:space="preserve">2. Субсидия предоставляется органом местного самоуправления муниципального образования Мурманской области гражданам, являющимся собственниками помещений в аварийном жилищном фонде (далее - гражданин, получатель субсидии), на приобретение (строительство) жилого помещения, соответствующего требованиям, установленным </w:t>
      </w:r>
      <w:hyperlink w:anchor="P106">
        <w:r>
          <w:rPr>
            <w:color w:val="0000FF"/>
          </w:rPr>
          <w:t>пунктом 7</w:t>
        </w:r>
      </w:hyperlink>
      <w:r>
        <w:t xml:space="preserve"> настоящего порядка.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6" w:name="P84"/>
      <w:bookmarkEnd w:id="6"/>
      <w:r>
        <w:t>3. Субсидия может быть использована гражданином: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7" w:name="P85"/>
      <w:bookmarkEnd w:id="7"/>
      <w:r>
        <w:t>а) для оплаты части цены договора купли-продажи жилого помещения (квартиры, комнаты, жилого дома);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б) для оплаты разницы между стоимостью отчуждаемого и приобретаемого имущества по договору мены, если приобретаемым имуществом является жилое помещение (квартира, комната, жилой дом);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в) для оплаты части цены договора участия в долевом строительстве, предметом которого является жилое помещение, в том числе путем размещения средств субсидии на счете эскроу;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г) для оплаты цены договора уступки прав по договору участия в долевом строительстве, предметом которого является жилое помещение;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8" w:name="P89"/>
      <w:bookmarkEnd w:id="8"/>
      <w:r>
        <w:t>д) для оплаты цены договора строительного подряда на строительство индивидуального жилого дома;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9" w:name="P90"/>
      <w:bookmarkEnd w:id="9"/>
      <w:r>
        <w:t>е) для уплаты первоначального взноса при заключении договора на получение жилищного кредита, в том числе ипотечного кредита, на приобретение (строительство) жилого помещения.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Указанные случаи распространяются на приобретение гражданином жилого помещения в индивидуальную собственность, а также в общую долевую или совместную собственность, участником которой является получатель субсидии.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Субсидия не может быть использована на приобретение жилого помещения у близких родственников (супруга (супруги), дедушки (бабушки), внуков, родителей (в том числе усыновителей), детей (в том числе усыновленных), полнородных и неполнородных братьев и сестер).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lastRenderedPageBreak/>
        <w:t>Субсидия имеет целевой характер, использование ее на цели, не предусмотренные настоящим Порядком, не допускается.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10" w:name="P94"/>
      <w:bookmarkEnd w:id="10"/>
      <w:r>
        <w:t>4. Субсидия предоставляется при соблюдении следующих условий: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4.1. </w:t>
      </w:r>
      <w:proofErr w:type="gramStart"/>
      <w:r>
        <w:t>На дату признания многоквартирного дома аварийным и подлежащим сносу, а также на момент подачи заявления о предоставлении субсидии у гражданина, в чьей собственности находится изымаемое жилого помещение в многоквартирном доме, признанном аварийным и подлежащим сносу, в том числе участника долевой собственности или совместной собственности, отсутствуют иные жилые помещения, пригодные для постоянного проживания и находящиеся в его собственности либо занимаемые на</w:t>
      </w:r>
      <w:proofErr w:type="gramEnd"/>
      <w:r>
        <w:t xml:space="preserve"> </w:t>
      </w:r>
      <w:proofErr w:type="gramStart"/>
      <w:r>
        <w:t>условиях</w:t>
      </w:r>
      <w:proofErr w:type="gramEnd"/>
      <w:r>
        <w:t xml:space="preserve"> социального найма или по договору найма жилого помещения жилищного фонда социального использования.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11" w:name="P96"/>
      <w:bookmarkEnd w:id="11"/>
      <w:r>
        <w:t xml:space="preserve">5. </w:t>
      </w:r>
      <w:proofErr w:type="gramStart"/>
      <w:r>
        <w:t>Субсидия не предоставляется гражданам, которые приобрели право собственности на жилое помещение в многоквартирном доме после признания такого дома в установленном порядке аварийным и подлежащим сносу или реконструкции, за исключением граждан, которые не понесли расходов на приобретение жилого помещения (на основании наследования, договора дарения, пожизненной ренты, договора пожизненного содержания с иждивением, договора мены и иных договоров, в которых отчуждение имущества производилось</w:t>
      </w:r>
      <w:proofErr w:type="gramEnd"/>
      <w:r>
        <w:t xml:space="preserve"> бесплатно).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6. Размер субсидии на приобретение (строительство) жилого помещения определяется по формуле:</w:t>
      </w: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jc w:val="center"/>
      </w:pPr>
      <w:r>
        <w:t xml:space="preserve">C = (Д x S x </w:t>
      </w:r>
      <w:proofErr w:type="gramStart"/>
      <w:r>
        <w:t>Ц</w:t>
      </w:r>
      <w:proofErr w:type="gramEnd"/>
      <w:r>
        <w:t xml:space="preserve"> - В), где:</w:t>
      </w: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ind w:firstLine="540"/>
        <w:jc w:val="both"/>
      </w:pPr>
      <w:r>
        <w:t>C - размер субсидии;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Д - доля в праве собственности на жилое помещение;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S - общая площадь жилого помещения, принадлежащего гражданину на праве собственности и расположенного в многоквартирном доме, признанном в установленном порядке аварийным и подлежащим сносу или реконструкции;</w:t>
      </w:r>
    </w:p>
    <w:p w:rsidR="00EA2801" w:rsidRDefault="00EA2801">
      <w:pPr>
        <w:pStyle w:val="ConsPlusNormal"/>
        <w:spacing w:before="220"/>
        <w:ind w:firstLine="540"/>
        <w:jc w:val="both"/>
      </w:pPr>
      <w:proofErr w:type="gramStart"/>
      <w:r>
        <w:t>Ц</w:t>
      </w:r>
      <w:proofErr w:type="gramEnd"/>
      <w:r>
        <w:t xml:space="preserve"> - стоимость одного квадратного метра общей площади жилого помещения, утвержденная Правительством Мурманской области на I квартал года, в котором принимается решение о предоставлении субсидии;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В - размер возмещения, предоставляемого собственнику и рассчитанного в порядке, установленном </w:t>
      </w:r>
      <w:hyperlink r:id="rId16">
        <w:r>
          <w:rPr>
            <w:color w:val="0000FF"/>
          </w:rPr>
          <w:t>частью 7 статьи 32</w:t>
        </w:r>
      </w:hyperlink>
      <w:r>
        <w:t xml:space="preserve"> Жилищного кодекса Российской Федерации.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12" w:name="P106"/>
      <w:bookmarkEnd w:id="12"/>
      <w:r>
        <w:t>7. Приобретаемое жилое помещение должно соответствовать следующим требованиям: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7.1. Быть благоустроенным применительно к условиям населенного пункта, на территории которого приобретается жилое помещение.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7.2. Общая площадь приобретаемого жилого помещения может быть меньше общей </w:t>
      </w:r>
      <w:proofErr w:type="gramStart"/>
      <w:r>
        <w:t>площади</w:t>
      </w:r>
      <w:proofErr w:type="gramEnd"/>
      <w:r>
        <w:t xml:space="preserve"> ранее занимаемого жилого помещения, но не более чем на 20 процентов, при условии, что данное действие не повлечет за собой намеренное ухудшение жилищных условий (уменьшение жилищной обеспеченности граждан).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7.3. Находится в многоквартирных домах, а также в жилых домах, указанных в </w:t>
      </w:r>
      <w:hyperlink r:id="rId17">
        <w:r>
          <w:rPr>
            <w:color w:val="0000FF"/>
          </w:rPr>
          <w:t>пункте 2 части 2 статьи 49</w:t>
        </w:r>
      </w:hyperlink>
      <w:r>
        <w:t xml:space="preserve"> Градостроительного кодекса Российской Федерации (в том числе в многоквартирных домах, строительство которых не завершено), в жилых домах.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7.4. Находится на территории Мурманской области.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lastRenderedPageBreak/>
        <w:t>В случае нахождения в многоквартирных домах, строительство которых не завершено, готовность объекта капитального строительства, в котором находится приобретаемое жилое помещение, должна составлять не менее 70 процентов.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В случае нахождения в деревянном, рубленом, брусчатом, сборно-щитовом или каркасном жилом или многоквартирном доме срок ввода его в эксплуатацию не должен превышать 10 лет до года предоставления меры поддержки.</w:t>
      </w:r>
    </w:p>
    <w:p w:rsidR="00EA2801" w:rsidRDefault="00EA2801">
      <w:pPr>
        <w:pStyle w:val="ConsPlusNormal"/>
        <w:spacing w:before="220"/>
        <w:ind w:firstLine="540"/>
        <w:jc w:val="both"/>
      </w:pPr>
      <w:proofErr w:type="gramStart"/>
      <w:r>
        <w:t xml:space="preserve">В случае покупки на вторичном рынке жилья дом, в котором приобретается такое жилое помещение, не должен быть признан аварийным и подлежащим сносу или реконструкции, не должен находиться на рассмотрении межведомственной комиссии, созданной в соответствии с положениями </w:t>
      </w:r>
      <w:hyperlink r:id="rId18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проживания, многоквартирного дома аварийным</w:t>
      </w:r>
      <w:proofErr w:type="gramEnd"/>
      <w:r>
        <w:t xml:space="preserve"> и подлежащим сносу или реконструкции, садового дома жилым домом и жилого дома садовым домом" (с последующими изменениями).</w:t>
      </w:r>
    </w:p>
    <w:p w:rsidR="00EA2801" w:rsidRDefault="00EA2801">
      <w:pPr>
        <w:pStyle w:val="ConsPlusNormal"/>
        <w:spacing w:before="220"/>
        <w:ind w:firstLine="540"/>
        <w:jc w:val="both"/>
      </w:pPr>
      <w:proofErr w:type="gramStart"/>
      <w:r>
        <w:t xml:space="preserve">Соответствие жилого помещения данным требованиям устанавливается посредством включения соответствующей информации в заключаемый собственником в соответствии с </w:t>
      </w:r>
      <w:hyperlink w:anchor="P84">
        <w:r>
          <w:rPr>
            <w:color w:val="0000FF"/>
          </w:rPr>
          <w:t>пунктом 3</w:t>
        </w:r>
      </w:hyperlink>
      <w:r>
        <w:t xml:space="preserve"> настоящего Порядка договор либо путем предоставления копий документов технической инвентаризации или иных официальных документов, предусмотренных законодательством, в которых содержатся сведения о соответствии приобретаемого жилого помещения указанным требованиям.</w:t>
      </w:r>
      <w:proofErr w:type="gramEnd"/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Субсидия предоставляется органом местного самоуправления муниципального образования, на территории которого расположен аварийный МКД, за счет средств бюджета Мурманской области и местного бюджета, предусмотренных на долевое финансирование мероприятий, соответствующих целям предоставления Субсидии.</w:t>
      </w:r>
      <w:proofErr w:type="gramEnd"/>
    </w:p>
    <w:p w:rsidR="00EA2801" w:rsidRDefault="00EA2801">
      <w:pPr>
        <w:pStyle w:val="ConsPlusNormal"/>
        <w:spacing w:before="220"/>
        <w:ind w:firstLine="540"/>
        <w:jc w:val="both"/>
      </w:pPr>
      <w:bookmarkStart w:id="13" w:name="P116"/>
      <w:bookmarkEnd w:id="13"/>
      <w:r>
        <w:t>9. В целях получения субсидии граждане (далее - также заявители) подают в орган местного самоуправления (структурное подразделение органа) муниципального образования, на территории которого расположен многоквартирный дом, признанный аварийным и подлежащим сносу (далее - уполномоченный орган), следующие документы:</w:t>
      </w:r>
    </w:p>
    <w:p w:rsidR="00EA2801" w:rsidRDefault="00EA2801">
      <w:pPr>
        <w:pStyle w:val="ConsPlusNormal"/>
        <w:spacing w:before="220"/>
        <w:ind w:firstLine="540"/>
        <w:jc w:val="both"/>
      </w:pPr>
      <w:proofErr w:type="gramStart"/>
      <w:r>
        <w:t>а) письменное заявление собственника (собственников) на получение субсидии на приобретение жилого помещения по форме, утвержденной органом местного самоуправления;</w:t>
      </w:r>
      <w:proofErr w:type="gramEnd"/>
    </w:p>
    <w:p w:rsidR="00EA2801" w:rsidRDefault="00EA2801">
      <w:pPr>
        <w:pStyle w:val="ConsPlusNormal"/>
        <w:spacing w:before="220"/>
        <w:ind w:firstLine="540"/>
        <w:jc w:val="both"/>
      </w:pPr>
      <w:r>
        <w:t>б) копии паспортов заявителя (заявителей), свидетельств о рождении детей, не достигших 14-летнего возраста (с отметкой о регистрации), копии документа, удостоверяющего личность и полномочия законного представителя (родителей, усыновителей, опекунов, попечителей на основании предоставленного им федеральным законом права), нотариально заверенной копии доверенности представителя;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14" w:name="P119"/>
      <w:bookmarkEnd w:id="14"/>
      <w:r>
        <w:t>в) копии документов, подтверждающих право собственности на аварийное жилое помещение;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г) копии свидетельства о праве на наследство (для лиц, получивших право собственности на жилое помещение в порядке наследования);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15" w:name="P121"/>
      <w:bookmarkEnd w:id="15"/>
      <w:r>
        <w:t>д) соглашение об изъятии жилого помещения в признанном аварийным многоквартирном доме, содержащее сведения о размере возмещения за изымаемое жилое помещение.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Копии указанных документов представляются заявителем в уполномоченный орган одновременно с представлением оригиналов указанных документов для </w:t>
      </w:r>
      <w:proofErr w:type="gramStart"/>
      <w:r>
        <w:t>заверения</w:t>
      </w:r>
      <w:proofErr w:type="gramEnd"/>
      <w:r>
        <w:t xml:space="preserve"> представленных копий сотрудниками уполномоченного органа.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lastRenderedPageBreak/>
        <w:t xml:space="preserve">В заявлении должно быть изложено согласие собственника (собственников) на проверку представленных им </w:t>
      </w:r>
      <w:proofErr w:type="gramStart"/>
      <w:r>
        <w:t>сведений</w:t>
      </w:r>
      <w:proofErr w:type="gramEnd"/>
      <w:r>
        <w:t xml:space="preserve"> уполномоченным органом.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В случае непредоставления получателем субсидии документов, указанных в </w:t>
      </w:r>
      <w:hyperlink w:anchor="P119">
        <w:r>
          <w:rPr>
            <w:color w:val="0000FF"/>
          </w:rPr>
          <w:t>подпунктах "в"</w:t>
        </w:r>
      </w:hyperlink>
      <w:r>
        <w:t xml:space="preserve"> - </w:t>
      </w:r>
      <w:hyperlink w:anchor="P121">
        <w:r>
          <w:rPr>
            <w:color w:val="0000FF"/>
          </w:rPr>
          <w:t>"д" пункта 9</w:t>
        </w:r>
      </w:hyperlink>
      <w:r>
        <w:t xml:space="preserve"> настоящего Порядка, уполномоченный орган запрашивает их по межведомственным запросам у органов государственной власти, органов местного самоуправления и подведомственных таким органам организаций, в распоряжении которых находятся указанные документы (либо сведения, содержащиеся в них).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Заявление может быть подано собственником (собственниками) лично или в электронной форме (при налич</w:t>
      </w:r>
      <w:proofErr w:type="gramStart"/>
      <w:r>
        <w:t>ии у у</w:t>
      </w:r>
      <w:proofErr w:type="gramEnd"/>
      <w:r>
        <w:t>полномоченного органа возможности принять заявления в электронной форме, которая определяется данным органом самостоятельно).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10. Орган местного самоуправления в день подачи получателем субсидии документов осуществляет регистрацию заявления и производит сверку копий с подлинниками предоставляемых с заявлением документов, о чем делает соответствующую отметку на копиях предоставленных документов.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10.1. </w:t>
      </w:r>
      <w:proofErr w:type="gramStart"/>
      <w:r>
        <w:t xml:space="preserve">В течение 20 рабочих дней со дня регистрации документов уполномоченный орган осуществляет рассмотрение заявления и прилагаемых к нему документов, проводит проверку полноты и достоверности сведений, содержащихся в документах, представленных получателем субсидии, устанавливает соответствие получателя субсидии требованию, указанному в </w:t>
      </w:r>
      <w:hyperlink w:anchor="P94">
        <w:r>
          <w:rPr>
            <w:color w:val="0000FF"/>
          </w:rPr>
          <w:t>пункте 4</w:t>
        </w:r>
      </w:hyperlink>
      <w:r>
        <w:t xml:space="preserve"> настоящего Порядка, в том числе путем направления межведомственных информационных запросов, и принимает решение о предоставлении или об отказе в предоставлении</w:t>
      </w:r>
      <w:proofErr w:type="gramEnd"/>
      <w:r>
        <w:t xml:space="preserve"> субсидии.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10.2. В течение 3 рабочих дней уполномоченный орган направляет информацию о поступившем заявлении с целью подтверждения возможности предоставления субсидии в рамках ассигнований текущего года в Министерство строительства Мурманской области (далее - Министерство) способами, определенными соглашением, заключенным между Министерством и соответствующим муниципальным образованием.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16" w:name="P129"/>
      <w:bookmarkEnd w:id="16"/>
      <w:r>
        <w:t>11. В течение 5 рабочих дней с даты поступления информации Министерство направляет в уполномоченный орган уведомление о наличии либо отсутствии соответствующих финансовых сре</w:t>
      </w:r>
      <w:proofErr w:type="gramStart"/>
      <w:r>
        <w:t>дств в р</w:t>
      </w:r>
      <w:proofErr w:type="gramEnd"/>
      <w:r>
        <w:t>амках доведенных ассигнований.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12. Решение о предоставлении субсидии принимается в виде правового акта органа местного самоуправления с указанием фамилии, имени, отчества (при наличии) каждого собственника и объема предоставляемой субсидии в соответствии с долей в праве общей долевой собственности.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В случае принятия положительного решения о предоставлении субсидии указывается срок действия такого решения, который не должен превышать срок действия Соглашения, заключенного между Министерством и администрацией.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13. Решение об отказе в предоставлении субсидии оформляется в письменном виде с указанием причин отказа.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14. Уполномоченный орган в течение 3 рабочих дней со дня принятия решения направляет гражданину уведомление о принятом решении способом, указанным в заявлении гражданина, по форме, установленной органом местного самоуправления.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15. Основаниями для отказа в предоставлении субсидии являются: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а) несоответствие заявителя требованиям, указанным в </w:t>
      </w:r>
      <w:hyperlink w:anchor="P94">
        <w:r>
          <w:rPr>
            <w:color w:val="0000FF"/>
          </w:rPr>
          <w:t>пунктах 4</w:t>
        </w:r>
      </w:hyperlink>
      <w:r>
        <w:t xml:space="preserve"> и </w:t>
      </w:r>
      <w:hyperlink w:anchor="P96">
        <w:r>
          <w:rPr>
            <w:color w:val="0000FF"/>
          </w:rPr>
          <w:t>5</w:t>
        </w:r>
      </w:hyperlink>
      <w:r>
        <w:t xml:space="preserve"> Порядка;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б) непредставление или представление не в полном объеме документов, указанных в </w:t>
      </w:r>
      <w:hyperlink w:anchor="P116">
        <w:r>
          <w:rPr>
            <w:color w:val="0000FF"/>
          </w:rPr>
          <w:t>пункте 9</w:t>
        </w:r>
      </w:hyperlink>
      <w:r>
        <w:t xml:space="preserve"> Порядка и не содержащихся в Едином государственном реестре недвижимости, а также которые не могут быть получены в порядке межведомственного взаимодействия;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в) несоответствие требованиям к приобретаемому жилому помещению, установленным </w:t>
      </w:r>
      <w:hyperlink w:anchor="P106">
        <w:r>
          <w:rPr>
            <w:color w:val="0000FF"/>
          </w:rPr>
          <w:t>пунктом 7</w:t>
        </w:r>
      </w:hyperlink>
      <w:r>
        <w:t xml:space="preserve"> настоящего Порядка;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17" w:name="P138"/>
      <w:bookmarkEnd w:id="17"/>
      <w:r>
        <w:t xml:space="preserve">г) недостоверность сведений, содержащихся в документах, указанных в </w:t>
      </w:r>
      <w:hyperlink w:anchor="P116">
        <w:r>
          <w:rPr>
            <w:color w:val="0000FF"/>
          </w:rPr>
          <w:t>пункте 9</w:t>
        </w:r>
      </w:hyperlink>
      <w:r>
        <w:t xml:space="preserve"> Порядка;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д) отсутствие подтверждения наличия ассигнований, полученных уполномоченным органом в соответствии с </w:t>
      </w:r>
      <w:hyperlink w:anchor="P129">
        <w:r>
          <w:rPr>
            <w:color w:val="0000FF"/>
          </w:rPr>
          <w:t>пунктом 11</w:t>
        </w:r>
      </w:hyperlink>
      <w:r>
        <w:t xml:space="preserve"> настоящего Порядка.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18" w:name="P140"/>
      <w:bookmarkEnd w:id="18"/>
      <w:r>
        <w:t xml:space="preserve">16. Заявитель вправе повторно подать заявление в уполномоченный орган после устранения причин отказа или не ранее чем через 30 дней, если причиной отказа явился </w:t>
      </w:r>
      <w:hyperlink w:anchor="P138">
        <w:r>
          <w:rPr>
            <w:color w:val="0000FF"/>
          </w:rPr>
          <w:t>подпункт "г" пункта 15</w:t>
        </w:r>
      </w:hyperlink>
      <w:r>
        <w:t xml:space="preserve"> настоящего Порядка. Порядок рассмотрения повторных заявлений аналогичен порядку рассмотрения заявлений, поданных впервые.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17. Уполномоченный орган в течение 10 рабочих дней со дня принятия решения о предоставлении субсидии оформляет и заключает с собственником соглашение о предоставлении субсидии на цели, указанные в </w:t>
      </w:r>
      <w:hyperlink w:anchor="P83">
        <w:r>
          <w:rPr>
            <w:color w:val="0000FF"/>
          </w:rPr>
          <w:t>пункте 2</w:t>
        </w:r>
      </w:hyperlink>
      <w:r>
        <w:t xml:space="preserve"> Порядка.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19" w:name="P142"/>
      <w:bookmarkEnd w:id="19"/>
      <w:r>
        <w:t xml:space="preserve">18. </w:t>
      </w:r>
      <w:proofErr w:type="gramStart"/>
      <w:r>
        <w:t xml:space="preserve">Заявитель самостоятельно осуществляет поиск жилого помещения, отвечающего требованиям </w:t>
      </w:r>
      <w:hyperlink w:anchor="P106">
        <w:r>
          <w:rPr>
            <w:color w:val="0000FF"/>
          </w:rPr>
          <w:t>пункта 7</w:t>
        </w:r>
      </w:hyperlink>
      <w:r>
        <w:t xml:space="preserve"> настоящего Порядка для целей его приобретения, и заключает один из договоров, указанных в </w:t>
      </w:r>
      <w:hyperlink w:anchor="P85">
        <w:r>
          <w:rPr>
            <w:color w:val="0000FF"/>
          </w:rPr>
          <w:t>подпунктах "а"</w:t>
        </w:r>
      </w:hyperlink>
      <w:r>
        <w:t xml:space="preserve"> - </w:t>
      </w:r>
      <w:hyperlink w:anchor="P89">
        <w:r>
          <w:rPr>
            <w:color w:val="0000FF"/>
          </w:rPr>
          <w:t>"д" пункта 3</w:t>
        </w:r>
      </w:hyperlink>
      <w:r>
        <w:t xml:space="preserve"> Порядка, или в случае, предусмотренном </w:t>
      </w:r>
      <w:hyperlink w:anchor="P90">
        <w:r>
          <w:rPr>
            <w:color w:val="0000FF"/>
          </w:rPr>
          <w:t>подпунктом "е" пункта 3</w:t>
        </w:r>
      </w:hyperlink>
      <w:r>
        <w:t xml:space="preserve"> Порядка, кредитный договор на приобретение (строительство) жилого помещения с указанием в качестве одного из способов оплаты цены договора перечисление субсидии.</w:t>
      </w:r>
      <w:proofErr w:type="gramEnd"/>
      <w:r>
        <w:t xml:space="preserve"> Документы, указанные в </w:t>
      </w:r>
      <w:hyperlink w:anchor="P152">
        <w:r>
          <w:rPr>
            <w:color w:val="0000FF"/>
          </w:rPr>
          <w:t>пункте 20</w:t>
        </w:r>
      </w:hyperlink>
      <w:r>
        <w:t xml:space="preserve"> настоящего Порядка, предоставляются в уполномоченный орган в течение 3 месяцев со дня заключения соглашения о предоставлении субсидии.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В случае пропуска по уважительной причине срока, предусмотренного </w:t>
      </w:r>
      <w:hyperlink w:anchor="P142">
        <w:r>
          <w:rPr>
            <w:color w:val="0000FF"/>
          </w:rPr>
          <w:t>абзацем первым</w:t>
        </w:r>
      </w:hyperlink>
      <w:r>
        <w:t xml:space="preserve"> настоящего пункта, этот срок подлежит продлению путем заключения дополнительного соглашения уполномоченным органом при предъявлении документов, подтверждающих уважительность причин пропуска срока, на срок не более 2 месяцев.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Уполномоченный орган информирует заявителя: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- не </w:t>
      </w:r>
      <w:proofErr w:type="gramStart"/>
      <w:r>
        <w:t>позднее</w:t>
      </w:r>
      <w:proofErr w:type="gramEnd"/>
      <w:r>
        <w:t xml:space="preserve"> чем за 15 дней до истечения 3-месячного срока предоставления документов о необходимости их предоставления, а также о возможности продления установленного срока при наличии уважительной причины;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- в течение 5 рабочих дней о прекращении действия соглашения в связи с истечением установленного срока.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19. В целях перечисления субсидии на приобретение жилого помещения заявитель представляет в уполномоченный орган следующие документы: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а) копию договора, указанного в </w:t>
      </w:r>
      <w:hyperlink w:anchor="P84">
        <w:r>
          <w:rPr>
            <w:color w:val="0000FF"/>
          </w:rPr>
          <w:t>пункте 3</w:t>
        </w:r>
      </w:hyperlink>
      <w:r>
        <w:t xml:space="preserve"> настоящего Порядка, содержащего сведения о соответствии приобретаемого жилого помещения требованиям, предусмотренным </w:t>
      </w:r>
      <w:hyperlink w:anchor="P106">
        <w:r>
          <w:rPr>
            <w:color w:val="0000FF"/>
          </w:rPr>
          <w:t>пунктом 7</w:t>
        </w:r>
      </w:hyperlink>
      <w:r>
        <w:t xml:space="preserve"> настоящего Порядка. В случае отсутствия необходимых сведений в договоре дополнительно предоставляются копии документов технической инвентаризации или иных официальных документов, предусмотренных законодательством, в которых содержатся сведения о соответствии приобретаемого жилого помещения требованиям, предусмотренным </w:t>
      </w:r>
      <w:hyperlink w:anchor="P106">
        <w:r>
          <w:rPr>
            <w:color w:val="0000FF"/>
          </w:rPr>
          <w:t>пунктом 7</w:t>
        </w:r>
      </w:hyperlink>
      <w:r>
        <w:t xml:space="preserve"> настоящего Порядка;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б) копию выписки из Единого государственного реестра недвижимости об основных характеристиках и зарегистрированных правах на объект недвижимости в отношении </w:t>
      </w:r>
      <w:r>
        <w:lastRenderedPageBreak/>
        <w:t>приобретенного жилого помещения;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в) копию документа, подтверждающего внесение гражданином собственных средств на счет, указанный в договоре (в случае необходимости внесения таких средств).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 xml:space="preserve">Копии указанных документов представляются заявителем в уполномоченный орган одновременно с представлением оригиналов указанных документов для </w:t>
      </w:r>
      <w:proofErr w:type="gramStart"/>
      <w:r>
        <w:t>заверения</w:t>
      </w:r>
      <w:proofErr w:type="gramEnd"/>
      <w:r>
        <w:t xml:space="preserve"> представленных копий сотрудниками уполномоченного органа.</w:t>
      </w:r>
    </w:p>
    <w:p w:rsidR="00EA2801" w:rsidRDefault="00EA2801">
      <w:pPr>
        <w:pStyle w:val="ConsPlusNormal"/>
        <w:spacing w:before="220"/>
        <w:ind w:firstLine="540"/>
        <w:jc w:val="both"/>
      </w:pPr>
      <w:bookmarkStart w:id="20" w:name="P152"/>
      <w:bookmarkEnd w:id="20"/>
      <w:r>
        <w:t xml:space="preserve">20. </w:t>
      </w:r>
      <w:proofErr w:type="gramStart"/>
      <w:r>
        <w:t xml:space="preserve">Уполномоченный орган осуществляет перечисление субсидии на приобретение жилого помещения безналичным путем на счет в соответствии с договором, указанным в </w:t>
      </w:r>
      <w:hyperlink w:anchor="P85">
        <w:r>
          <w:rPr>
            <w:color w:val="0000FF"/>
          </w:rPr>
          <w:t>подпунктах "а"</w:t>
        </w:r>
      </w:hyperlink>
      <w:r>
        <w:t xml:space="preserve"> - </w:t>
      </w:r>
      <w:hyperlink w:anchor="P89">
        <w:r>
          <w:rPr>
            <w:color w:val="0000FF"/>
          </w:rPr>
          <w:t>"д" пункта 3</w:t>
        </w:r>
      </w:hyperlink>
      <w:r>
        <w:t xml:space="preserve"> настоящего Порядка, или в случае, предусмотренном </w:t>
      </w:r>
      <w:hyperlink w:anchor="P90">
        <w:r>
          <w:rPr>
            <w:color w:val="0000FF"/>
          </w:rPr>
          <w:t>подпунктом "е" пункта 3</w:t>
        </w:r>
      </w:hyperlink>
      <w:r>
        <w:t xml:space="preserve"> настоящего Порядка, на счет, предусмотренный кредитным договором для целей перечисления процентов по кредиту, в течение 30 рабочих дней со дня представления заявителем в уполномоченный орган документов</w:t>
      </w:r>
      <w:proofErr w:type="gramEnd"/>
      <w:r>
        <w:t xml:space="preserve">, </w:t>
      </w:r>
      <w:proofErr w:type="gramStart"/>
      <w:r>
        <w:t>указанных</w:t>
      </w:r>
      <w:proofErr w:type="gramEnd"/>
      <w:r>
        <w:t xml:space="preserve"> в </w:t>
      </w:r>
      <w:hyperlink w:anchor="P140">
        <w:r>
          <w:rPr>
            <w:color w:val="0000FF"/>
          </w:rPr>
          <w:t>пункте 16</w:t>
        </w:r>
      </w:hyperlink>
      <w:r>
        <w:t xml:space="preserve"> настоящего Порядка.</w:t>
      </w:r>
    </w:p>
    <w:p w:rsidR="00EA2801" w:rsidRDefault="00EA2801">
      <w:pPr>
        <w:pStyle w:val="ConsPlusNormal"/>
        <w:spacing w:before="220"/>
        <w:ind w:firstLine="540"/>
        <w:jc w:val="both"/>
      </w:pPr>
      <w:r>
        <w:t>21. Перечень документов, отчетов и сведений, предоставляемых уполномоченным органом в рамках реализации настоящего Порядка Министерству строительства Мурманской области, а также порядок и сроки их предоставления определяются соглашением или дополнительным соглашением, заключенным между Министерством и органом местного самоуправления.</w:t>
      </w: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  <w:jc w:val="both"/>
      </w:pPr>
    </w:p>
    <w:p w:rsidR="00EA2801" w:rsidRDefault="00EA2801">
      <w:pPr>
        <w:pStyle w:val="ConsPlusNormal"/>
      </w:pPr>
      <w:hyperlink r:id="rId19">
        <w:r>
          <w:rPr>
            <w:i/>
            <w:color w:val="0000FF"/>
          </w:rPr>
          <w:br/>
          <w:t>{Постановление Правительства Мурманской области от 13.11.2020 N 795-ПП (ред. от 07.08.2023) "О государственной программе Мурманской области "Комфортное жилье и городская среда" {КонсультантПлюс}}</w:t>
        </w:r>
      </w:hyperlink>
      <w:r>
        <w:br/>
      </w:r>
    </w:p>
    <w:p w:rsidR="002F278D" w:rsidRDefault="002F278D">
      <w:bookmarkStart w:id="21" w:name="_GoBack"/>
      <w:bookmarkEnd w:id="21"/>
    </w:p>
    <w:sectPr w:rsidR="002F278D" w:rsidSect="00605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801"/>
    <w:rsid w:val="002F278D"/>
    <w:rsid w:val="00EA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8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A28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2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28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A28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2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EAEC5B37FD92376C6A7331ED60E3EA0BEEB1CFE4E403F768A1952645A742E3A2DC47E90118BE9FBEDBEB69EABDC1948E092DAEDD25y2L" TargetMode="External"/><Relationship Id="rId13" Type="http://schemas.openxmlformats.org/officeDocument/2006/relationships/image" Target="media/image1.wmf"/><Relationship Id="rId18" Type="http://schemas.openxmlformats.org/officeDocument/2006/relationships/hyperlink" Target="consultantplus://offline/ref=22EAEC5B37FD92376C6A7331ED60E3EA0BE9B2C7E1ED03F768A1952645A742E3B0DC1FE6071FABCBE781BC64E92ByE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22EAEC5B37FD92376C6A7331ED60E3EA0BEEB1CFE4E403F768A1952645A742E3A2DC47E90E1ABE9FBEDBEB69EABDC1948E092DAEDD25y2L" TargetMode="External"/><Relationship Id="rId12" Type="http://schemas.openxmlformats.org/officeDocument/2006/relationships/hyperlink" Target="consultantplus://offline/ref=22EAEC5B37FD92376C6A7331ED60E3EA0BEEB6CCE4EC03F768A1952645A742E3B0DC1FE6071FABCBE781BC64E92ByEL" TargetMode="External"/><Relationship Id="rId17" Type="http://schemas.openxmlformats.org/officeDocument/2006/relationships/hyperlink" Target="consultantplus://offline/ref=22EAEC5B37FD92376C6A7331ED60E3EA0BEEB6C6ECE103F768A1952645A742E3A2DC47E80E18B2C0BBCEFA31E6BCDF8A861F31ACDF5328y0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2EAEC5B37FD92376C6A7331ED60E3EA0BE8B3C8ECE203F768A1952645A742E3A2DC47E20619BE9FBEDBEB69EABDC1948E092DAEDD25y2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EAEC5B37FD92376C6A7331ED60E3EA0BE8B3C8ECE203F768A1952645A742E3A2DC47E20619BE9FBEDBEB69EABDC1948E092DAEDD25y2L" TargetMode="External"/><Relationship Id="rId11" Type="http://schemas.openxmlformats.org/officeDocument/2006/relationships/hyperlink" Target="consultantplus://offline/ref=22EAEC5B37FD92376C6A7331ED60E3EA0BEEB6C6E2E303F768A1952645A742E3B0DC1FE6071FABCBE781BC64E92ByEL" TargetMode="External"/><Relationship Id="rId5" Type="http://schemas.openxmlformats.org/officeDocument/2006/relationships/hyperlink" Target="consultantplus://offline/ref=22EAEC5B37FD92376C6A6D3CFB0CBDEF08E0EBC2E5E60AA634F793711AF744B6E29C41BF455BB8CAEF9EBE6DE8B68BC5C24222AFDF4F83C9ECAAB8EE24y8L" TargetMode="External"/><Relationship Id="rId15" Type="http://schemas.openxmlformats.org/officeDocument/2006/relationships/image" Target="media/image3.wmf"/><Relationship Id="rId10" Type="http://schemas.openxmlformats.org/officeDocument/2006/relationships/hyperlink" Target="consultantplus://offline/ref=22EAEC5B37FD92376C6A7331ED60E3EA0BEEB1CFE4E403F768A1952645A742E3A2DC47EA071EB3C0BBCEFA31E6BCDF8A861F31ACDF5328y0L" TargetMode="External"/><Relationship Id="rId19" Type="http://schemas.openxmlformats.org/officeDocument/2006/relationships/hyperlink" Target="consultantplus://offline/ref=22EAEC5B37FD92376C6A6D3CFB0CBDEF08E0EBC2E5E60DA334FD93711AF744B6E29C41BF455BB8CAEC98BE67EBB68BC5C24222AFDF4F83C9ECAAB8EE24y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EAEC5B37FD92376C6A7331ED60E3EA0BEEB1CFE4E403F768A1952645A742E3A2DC47EA041FB2C8E4CBEF20BEB0DE94981727B0DD51812Cy2L" TargetMode="Externa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4543</Words>
  <Characters>25901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30384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Поддубная А.В.</dc:creator>
  <cp:lastModifiedBy>Поддубная А.В.</cp:lastModifiedBy>
  <cp:revision>1</cp:revision>
  <dcterms:created xsi:type="dcterms:W3CDTF">2023-08-10T11:50:00Z</dcterms:created>
  <dcterms:modified xsi:type="dcterms:W3CDTF">2023-08-10T11:51:00Z</dcterms:modified>
</cp:coreProperties>
</file>